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960120" cy="65818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oly Cross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658182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      </w:t>
      </w:r>
      <w:r>
        <w:drawing>
          <wp:inline xmlns:a="http://schemas.openxmlformats.org/drawingml/2006/main" xmlns:pic="http://schemas.openxmlformats.org/drawingml/2006/picture">
            <wp:extent cx="1325880" cy="132588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ew Logo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13258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/>
          <w:color w:val="18325C"/>
          <w:sz w:val="48"/>
        </w:rPr>
        <w:t>CONCEPT BUILDERS</w:t>
      </w:r>
    </w:p>
    <w:p>
      <w:pPr>
        <w:jc w:val="center"/>
      </w:pPr>
      <w:r>
        <w:rPr>
          <w:b/>
          <w:color w:val="3C3C3C"/>
          <w:sz w:val="30"/>
        </w:rPr>
        <w:t>HOLY CROSS</w:t>
      </w:r>
    </w:p>
    <w:p>
      <w:pPr>
        <w:jc w:val="center"/>
      </w:pPr>
      <w:r>
        <w:rPr>
          <w:b/>
          <w:sz w:val="23"/>
        </w:rPr>
        <w:t>Programme Dates | August – October 2026</w:t>
      </w:r>
    </w:p>
    <w:p>
      <w:pPr>
        <w:jc w:val="center"/>
      </w:pPr>
      <w:r>
        <w:rPr>
          <w:b/>
          <w:sz w:val="22"/>
        </w:rPr>
        <w:t>Two Concept Builders groups will be running at Holy Cross:</w:t>
      </w:r>
    </w:p>
    <w:p>
      <w:pPr>
        <w:jc w:val="center"/>
      </w:pPr>
      <w:r>
        <w:rPr>
          <w:color w:val="18325C"/>
          <w:sz w:val="24"/>
        </w:rPr>
        <w:t>Grade 1 learners  •  Grade 2–3 learners</w:t>
      </w:r>
    </w:p>
    <w:p>
      <w:pPr>
        <w:jc w:val="center"/>
      </w:pPr>
      <w:r>
        <w:rPr>
          <w:i/>
          <w:sz w:val="21"/>
        </w:rPr>
        <w:t>Both groups will follow the programme on the dates below.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B7C1D0"/>
          <w:left w:val="single" w:sz="6" w:color="B7C1D0"/>
          <w:bottom w:val="single" w:sz="6" w:color="B7C1D0"/>
          <w:right w:val="single" w:sz="6" w:color="B7C1D0"/>
          <w:insideH w:val="single" w:sz="6" w:color="B7C1D0"/>
          <w:insideV w:val="single" w:sz="6" w:color="B7C1D0"/>
        </w:tblBorders>
      </w:tblPr>
      <w:tblGrid>
        <w:gridCol w:w="2232"/>
        <w:gridCol w:w="1656"/>
        <w:gridCol w:w="6624"/>
      </w:tblGrid>
      <w:tr>
        <w:tc>
          <w:tcPr>
            <w:tcW w:type="dxa" w:w="3456"/>
            <w:vAlign w:val="center"/>
            <w:shd w:fill="18325C"/>
          </w:tcPr>
          <w:p>
            <w:pPr>
              <w:jc w:val="center"/>
            </w:pPr>
            <w:r>
              <w:rPr>
                <w:b/>
                <w:color w:val="FFFFFF"/>
                <w:sz w:val="21"/>
              </w:rPr>
              <w:t>Month</w:t>
            </w:r>
          </w:p>
        </w:tc>
        <w:tc>
          <w:tcPr>
            <w:tcW w:type="dxa" w:w="3456"/>
            <w:vAlign w:val="center"/>
            <w:shd w:fill="18325C"/>
          </w:tcPr>
          <w:p>
            <w:pPr>
              <w:jc w:val="center"/>
            </w:pPr>
            <w:r>
              <w:rPr>
                <w:b/>
                <w:color w:val="FFFFFF"/>
                <w:sz w:val="21"/>
              </w:rPr>
              <w:t>Session</w:t>
            </w:r>
          </w:p>
        </w:tc>
        <w:tc>
          <w:tcPr>
            <w:tcW w:type="dxa" w:w="3456"/>
            <w:vAlign w:val="center"/>
            <w:shd w:fill="18325C"/>
          </w:tcPr>
          <w:p>
            <w:pPr>
              <w:jc w:val="center"/>
            </w:pPr>
            <w:r>
              <w:rPr>
                <w:b/>
                <w:color w:val="FFFFFF"/>
                <w:sz w:val="21"/>
              </w:rPr>
              <w:t>Dates</w:t>
            </w:r>
          </w:p>
        </w:tc>
      </w:tr>
      <w:tr>
        <w:tc>
          <w:tcPr>
            <w:tcW w:type="dxa" w:w="2232"/>
            <w:vAlign w:val="center"/>
          </w:tcPr>
          <w:p>
            <w:pPr>
              <w:jc w:val="center"/>
            </w:pPr>
            <w:r>
              <w:rPr>
                <w:sz w:val="21"/>
              </w:rPr>
              <w:t>August</w:t>
            </w:r>
          </w:p>
        </w:tc>
        <w:tc>
          <w:tcPr>
            <w:tcW w:type="dxa" w:w="1656"/>
            <w:vAlign w:val="center"/>
          </w:tcPr>
          <w:p>
            <w:pPr>
              <w:jc w:val="center"/>
            </w:pPr>
            <w:r>
              <w:rPr>
                <w:sz w:val="21"/>
              </w:rPr>
              <w:t>1</w:t>
            </w:r>
          </w:p>
        </w:tc>
        <w:tc>
          <w:tcPr>
            <w:tcW w:type="dxa" w:w="6624"/>
            <w:vAlign w:val="center"/>
          </w:tcPr>
          <w:p>
            <w:pPr>
              <w:jc w:val="left"/>
            </w:pPr>
            <w:r>
              <w:rPr>
                <w:b/>
                <w:sz w:val="21"/>
              </w:rPr>
              <w:t>17 &amp; 19 August</w:t>
            </w:r>
          </w:p>
        </w:tc>
      </w:tr>
      <w:tr>
        <w:tc>
          <w:tcPr>
            <w:tcW w:type="dxa" w:w="2232"/>
            <w:vAlign w:val="center"/>
          </w:tcPr>
          <w:p>
            <w:pPr>
              <w:jc w:val="center"/>
            </w:pPr>
            <w:r>
              <w:rPr>
                <w:sz w:val="21"/>
              </w:rPr>
              <w:t>August</w:t>
            </w:r>
          </w:p>
        </w:tc>
        <w:tc>
          <w:tcPr>
            <w:tcW w:type="dxa" w:w="1656"/>
            <w:vAlign w:val="center"/>
          </w:tcPr>
          <w:p>
            <w:pPr>
              <w:jc w:val="center"/>
            </w:pPr>
            <w:r>
              <w:rPr>
                <w:sz w:val="21"/>
              </w:rPr>
              <w:t>2</w:t>
            </w:r>
          </w:p>
        </w:tc>
        <w:tc>
          <w:tcPr>
            <w:tcW w:type="dxa" w:w="6624"/>
            <w:vAlign w:val="center"/>
          </w:tcPr>
          <w:p>
            <w:pPr>
              <w:jc w:val="left"/>
            </w:pPr>
            <w:r>
              <w:rPr>
                <w:b/>
                <w:sz w:val="21"/>
              </w:rPr>
              <w:t>24 &amp; 26 August</w:t>
            </w:r>
          </w:p>
        </w:tc>
      </w:tr>
      <w:tr>
        <w:tc>
          <w:tcPr>
            <w:tcW w:type="dxa" w:w="2232"/>
            <w:vAlign w:val="center"/>
            <w:shd w:fill="F4F7FB"/>
          </w:tcPr>
          <w:p>
            <w:pPr>
              <w:jc w:val="center"/>
            </w:pPr>
            <w:r>
              <w:rPr>
                <w:sz w:val="21"/>
              </w:rPr>
              <w:t>August / September</w:t>
            </w:r>
          </w:p>
        </w:tc>
        <w:tc>
          <w:tcPr>
            <w:tcW w:type="dxa" w:w="1656"/>
            <w:vAlign w:val="center"/>
            <w:shd w:fill="F4F7FB"/>
          </w:tcPr>
          <w:p>
            <w:pPr>
              <w:jc w:val="center"/>
            </w:pPr>
            <w:r>
              <w:rPr>
                <w:sz w:val="21"/>
              </w:rPr>
              <w:t>3</w:t>
            </w:r>
          </w:p>
        </w:tc>
        <w:tc>
          <w:tcPr>
            <w:tcW w:type="dxa" w:w="6624"/>
            <w:vAlign w:val="center"/>
            <w:shd w:fill="F4F7FB"/>
          </w:tcPr>
          <w:p>
            <w:pPr>
              <w:jc w:val="left"/>
            </w:pPr>
            <w:r>
              <w:rPr>
                <w:b/>
                <w:sz w:val="21"/>
              </w:rPr>
              <w:t>31 August &amp; 2 September</w:t>
            </w:r>
          </w:p>
        </w:tc>
      </w:tr>
      <w:tr>
        <w:tc>
          <w:tcPr>
            <w:tcW w:type="dxa" w:w="2232"/>
            <w:vAlign w:val="center"/>
          </w:tcPr>
          <w:p>
            <w:pPr>
              <w:jc w:val="center"/>
            </w:pPr>
            <w:r>
              <w:rPr>
                <w:sz w:val="21"/>
              </w:rPr>
              <w:t>September</w:t>
            </w:r>
          </w:p>
        </w:tc>
        <w:tc>
          <w:tcPr>
            <w:tcW w:type="dxa" w:w="1656"/>
            <w:vAlign w:val="center"/>
          </w:tcPr>
          <w:p>
            <w:pPr>
              <w:jc w:val="center"/>
            </w:pPr>
            <w:r>
              <w:rPr>
                <w:sz w:val="21"/>
              </w:rPr>
              <w:t>4</w:t>
            </w:r>
          </w:p>
        </w:tc>
        <w:tc>
          <w:tcPr>
            <w:tcW w:type="dxa" w:w="6624"/>
            <w:vAlign w:val="center"/>
          </w:tcPr>
          <w:p>
            <w:pPr>
              <w:jc w:val="left"/>
            </w:pPr>
            <w:r>
              <w:rPr>
                <w:b/>
                <w:sz w:val="21"/>
              </w:rPr>
              <w:t>7 &amp; 9 September</w:t>
            </w:r>
          </w:p>
        </w:tc>
      </w:tr>
      <w:tr>
        <w:tc>
          <w:tcPr>
            <w:tcW w:type="dxa" w:w="2232"/>
            <w:vAlign w:val="center"/>
          </w:tcPr>
          <w:p>
            <w:pPr>
              <w:jc w:val="center"/>
            </w:pPr>
            <w:r>
              <w:rPr>
                <w:sz w:val="21"/>
              </w:rPr>
              <w:t>September</w:t>
            </w:r>
          </w:p>
        </w:tc>
        <w:tc>
          <w:tcPr>
            <w:tcW w:type="dxa" w:w="1656"/>
            <w:vAlign w:val="center"/>
          </w:tcPr>
          <w:p>
            <w:pPr>
              <w:jc w:val="center"/>
            </w:pPr>
            <w:r>
              <w:rPr>
                <w:sz w:val="21"/>
              </w:rPr>
              <w:t>5</w:t>
            </w:r>
          </w:p>
        </w:tc>
        <w:tc>
          <w:tcPr>
            <w:tcW w:type="dxa" w:w="6624"/>
            <w:vAlign w:val="center"/>
          </w:tcPr>
          <w:p>
            <w:pPr>
              <w:jc w:val="left"/>
            </w:pPr>
            <w:r>
              <w:rPr>
                <w:b/>
                <w:sz w:val="21"/>
              </w:rPr>
              <w:t>14 &amp; 16 September</w:t>
            </w:r>
          </w:p>
        </w:tc>
      </w:tr>
      <w:tr>
        <w:tc>
          <w:tcPr>
            <w:tcW w:type="dxa" w:w="2232"/>
            <w:vAlign w:val="center"/>
          </w:tcPr>
          <w:p>
            <w:pPr>
              <w:jc w:val="center"/>
            </w:pPr>
            <w:r>
              <w:rPr>
                <w:sz w:val="21"/>
              </w:rPr>
              <w:t>October</w:t>
            </w:r>
          </w:p>
        </w:tc>
        <w:tc>
          <w:tcPr>
            <w:tcW w:type="dxa" w:w="1656"/>
            <w:vAlign w:val="center"/>
          </w:tcPr>
          <w:p>
            <w:pPr>
              <w:jc w:val="center"/>
            </w:pPr>
            <w:r>
              <w:rPr>
                <w:sz w:val="21"/>
              </w:rPr>
              <w:t>6</w:t>
            </w:r>
          </w:p>
        </w:tc>
        <w:tc>
          <w:tcPr>
            <w:tcW w:type="dxa" w:w="6624"/>
            <w:vAlign w:val="center"/>
          </w:tcPr>
          <w:p>
            <w:pPr>
              <w:jc w:val="left"/>
            </w:pPr>
            <w:r>
              <w:rPr>
                <w:b/>
                <w:sz w:val="21"/>
              </w:rPr>
              <w:t>5 &amp; 7 October</w:t>
            </w:r>
          </w:p>
        </w:tc>
      </w:tr>
      <w:tr>
        <w:tc>
          <w:tcPr>
            <w:tcW w:type="dxa" w:w="2232"/>
            <w:vAlign w:val="center"/>
          </w:tcPr>
          <w:p>
            <w:pPr>
              <w:jc w:val="center"/>
            </w:pPr>
            <w:r>
              <w:rPr>
                <w:sz w:val="21"/>
              </w:rPr>
              <w:t>October</w:t>
            </w:r>
          </w:p>
        </w:tc>
        <w:tc>
          <w:tcPr>
            <w:tcW w:type="dxa" w:w="1656"/>
            <w:vAlign w:val="center"/>
          </w:tcPr>
          <w:p>
            <w:pPr>
              <w:jc w:val="center"/>
            </w:pPr>
            <w:r>
              <w:rPr>
                <w:sz w:val="21"/>
              </w:rPr>
              <w:t>7</w:t>
            </w:r>
          </w:p>
        </w:tc>
        <w:tc>
          <w:tcPr>
            <w:tcW w:type="dxa" w:w="6624"/>
            <w:vAlign w:val="center"/>
          </w:tcPr>
          <w:p>
            <w:pPr>
              <w:jc w:val="left"/>
            </w:pPr>
            <w:r>
              <w:rPr>
                <w:b/>
                <w:sz w:val="21"/>
              </w:rPr>
              <w:t>12 &amp; 14 October</w:t>
            </w:r>
          </w:p>
        </w:tc>
      </w:tr>
      <w:tr>
        <w:tc>
          <w:tcPr>
            <w:tcW w:type="dxa" w:w="2232"/>
            <w:vAlign w:val="center"/>
          </w:tcPr>
          <w:p>
            <w:pPr>
              <w:jc w:val="center"/>
            </w:pPr>
            <w:r>
              <w:rPr>
                <w:sz w:val="21"/>
              </w:rPr>
              <w:t>October</w:t>
            </w:r>
          </w:p>
        </w:tc>
        <w:tc>
          <w:tcPr>
            <w:tcW w:type="dxa" w:w="1656"/>
            <w:vAlign w:val="center"/>
          </w:tcPr>
          <w:p>
            <w:pPr>
              <w:jc w:val="center"/>
            </w:pPr>
            <w:r>
              <w:rPr>
                <w:sz w:val="21"/>
              </w:rPr>
              <w:t>8</w:t>
            </w:r>
          </w:p>
        </w:tc>
        <w:tc>
          <w:tcPr>
            <w:tcW w:type="dxa" w:w="6624"/>
            <w:vAlign w:val="center"/>
          </w:tcPr>
          <w:p>
            <w:pPr>
              <w:jc w:val="left"/>
            </w:pPr>
            <w:r>
              <w:rPr>
                <w:b/>
                <w:sz w:val="21"/>
              </w:rPr>
              <w:t>19 &amp; 21 October</w:t>
            </w:r>
          </w:p>
        </w:tc>
      </w:tr>
    </w:tbl>
    <w:p/>
    <w:p>
      <w:pPr>
        <w:jc w:val="center"/>
      </w:pPr>
      <w:r>
        <w:rPr>
          <w:b/>
          <w:color w:val="18325C"/>
          <w:sz w:val="22"/>
        </w:rPr>
        <w:t>LANGUAGE  •  THINKING  •  LEARNING</w:t>
      </w:r>
    </w:p>
    <w:p>
      <w:pPr>
        <w:jc w:val="center"/>
      </w:pPr>
      <w:r>
        <w:rPr>
          <w:i/>
          <w:color w:val="5A5A5A"/>
          <w:sz w:val="20"/>
        </w:rPr>
        <w:t>Building foundations for lifelong learning</w:t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